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F2B4A9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AA665D">
        <w:rPr>
          <w:rFonts w:cs="Arial"/>
          <w:bCs/>
          <w:noProof w:val="0"/>
          <w:sz w:val="24"/>
          <w:szCs w:val="24"/>
        </w:rPr>
        <w:t>2</w:t>
      </w:r>
      <w:r w:rsidR="00150439">
        <w:rPr>
          <w:rFonts w:cs="Arial"/>
          <w:bCs/>
          <w:noProof w:val="0"/>
          <w:sz w:val="24"/>
          <w:szCs w:val="24"/>
        </w:rPr>
        <w:t>3-bis</w:t>
      </w:r>
      <w:r w:rsidR="002C1220" w:rsidRPr="000665EA">
        <w:rPr>
          <w:rFonts w:cs="Arial"/>
          <w:bCs/>
          <w:noProof w:val="0"/>
          <w:sz w:val="24"/>
          <w:szCs w:val="24"/>
        </w:rPr>
        <w:tab/>
        <w:t>R3-</w:t>
      </w:r>
      <w:r w:rsidR="00FA4A45" w:rsidRPr="000665EA">
        <w:rPr>
          <w:rFonts w:cs="Arial"/>
          <w:bCs/>
          <w:noProof w:val="0"/>
          <w:sz w:val="24"/>
          <w:szCs w:val="24"/>
        </w:rPr>
        <w:t>2</w:t>
      </w:r>
      <w:r w:rsidR="00150439">
        <w:rPr>
          <w:rFonts w:cs="Arial"/>
          <w:bCs/>
          <w:noProof w:val="0"/>
          <w:sz w:val="24"/>
          <w:szCs w:val="24"/>
        </w:rPr>
        <w:t>4</w:t>
      </w:r>
      <w:r w:rsidR="000E3B91">
        <w:rPr>
          <w:rFonts w:cs="Arial"/>
          <w:bCs/>
          <w:noProof w:val="0"/>
          <w:sz w:val="24"/>
          <w:szCs w:val="24"/>
        </w:rPr>
        <w:t>1561</w:t>
      </w:r>
    </w:p>
    <w:bookmarkEnd w:id="0"/>
    <w:p w14:paraId="5669B020" w14:textId="60C28474" w:rsidR="004C654E" w:rsidRPr="004F4539" w:rsidRDefault="00150439" w:rsidP="004C654E">
      <w:pPr>
        <w:pStyle w:val="Header"/>
        <w:tabs>
          <w:tab w:val="left" w:pos="2410"/>
        </w:tabs>
        <w:rPr>
          <w:rFonts w:eastAsia="MS Mincho" w:cs="Arial"/>
          <w:sz w:val="24"/>
          <w:szCs w:val="24"/>
        </w:rPr>
      </w:pPr>
      <w:r>
        <w:rPr>
          <w:rFonts w:eastAsia="MS Mincho" w:cs="Arial"/>
          <w:sz w:val="24"/>
          <w:szCs w:val="24"/>
        </w:rPr>
        <w:t>Changsha</w:t>
      </w:r>
      <w:r w:rsidR="00AA665D" w:rsidRPr="00AA665D">
        <w:rPr>
          <w:rFonts w:eastAsia="MS Mincho" w:cs="Arial"/>
          <w:sz w:val="24"/>
          <w:szCs w:val="24"/>
        </w:rPr>
        <w:t xml:space="preserve">, </w:t>
      </w:r>
      <w:r w:rsidR="00977E8D">
        <w:rPr>
          <w:rFonts w:eastAsia="MS Mincho" w:cs="Arial"/>
          <w:sz w:val="24"/>
          <w:szCs w:val="24"/>
        </w:rPr>
        <w:t xml:space="preserve">China, </w:t>
      </w:r>
      <w:r>
        <w:rPr>
          <w:rFonts w:eastAsia="MS Mincho" w:cs="Arial"/>
          <w:sz w:val="24"/>
          <w:szCs w:val="24"/>
        </w:rPr>
        <w:t>15-19</w:t>
      </w:r>
      <w:r w:rsidR="00AA665D" w:rsidRPr="00AA665D">
        <w:rPr>
          <w:rFonts w:eastAsia="MS Mincho" w:cs="Arial"/>
          <w:sz w:val="24"/>
          <w:szCs w:val="24"/>
        </w:rPr>
        <w:t xml:space="preserve"> </w:t>
      </w:r>
      <w:r>
        <w:rPr>
          <w:rFonts w:eastAsia="MS Mincho" w:cs="Arial"/>
          <w:sz w:val="24"/>
          <w:szCs w:val="24"/>
        </w:rPr>
        <w:t>April</w:t>
      </w:r>
      <w:r w:rsidR="00AA665D" w:rsidRPr="00AA665D">
        <w:rPr>
          <w:rFonts w:eastAsia="MS Mincho" w:cs="Arial"/>
          <w:sz w:val="24"/>
          <w:szCs w:val="24"/>
        </w:rPr>
        <w:t>, 202</w:t>
      </w:r>
      <w:r>
        <w:rPr>
          <w:rFonts w:eastAsia="MS Mincho" w:cs="Arial"/>
          <w:sz w:val="24"/>
          <w:szCs w:val="24"/>
        </w:rPr>
        <w:t>4</w:t>
      </w:r>
    </w:p>
    <w:p w14:paraId="2F96B0BD" w14:textId="77777777" w:rsidR="002F2360" w:rsidRPr="004F4539" w:rsidRDefault="002F2360" w:rsidP="002F2360">
      <w:pPr>
        <w:pStyle w:val="Header"/>
        <w:tabs>
          <w:tab w:val="left" w:pos="2410"/>
        </w:tabs>
        <w:rPr>
          <w:bCs/>
          <w:noProof w:val="0"/>
          <w:sz w:val="24"/>
        </w:rPr>
      </w:pPr>
    </w:p>
    <w:p w14:paraId="430718D4" w14:textId="37F4CE23"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0E3B91">
        <w:rPr>
          <w:rFonts w:cs="Arial"/>
          <w:b/>
          <w:bCs/>
          <w:sz w:val="24"/>
        </w:rPr>
        <w:t>10.2</w:t>
      </w:r>
    </w:p>
    <w:p w14:paraId="02505283" w14:textId="7639936A"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027811E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31A42">
        <w:rPr>
          <w:rFonts w:ascii="Arial" w:hAnsi="Arial" w:cs="Arial"/>
          <w:b/>
          <w:bCs/>
          <w:sz w:val="24"/>
        </w:rPr>
        <w:t>Optimal usage</w:t>
      </w:r>
      <w:r w:rsidR="000D3011">
        <w:rPr>
          <w:rFonts w:ascii="Arial" w:hAnsi="Arial" w:cs="Arial"/>
          <w:b/>
          <w:bCs/>
          <w:sz w:val="24"/>
        </w:rPr>
        <w:t xml:space="preserve"> of </w:t>
      </w:r>
      <w:r w:rsidR="000E7D7E">
        <w:rPr>
          <w:rFonts w:ascii="Arial" w:hAnsi="Arial" w:cs="Arial"/>
          <w:b/>
          <w:bCs/>
          <w:sz w:val="24"/>
        </w:rPr>
        <w:t>Subsequent CPAC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1BAC363" w14:textId="2B465D1A" w:rsidR="000D3011" w:rsidRDefault="000D3011" w:rsidP="000D3011">
      <w:bookmarkStart w:id="1" w:name="_Toc474247438"/>
      <w:r>
        <w:t xml:space="preserve">The </w:t>
      </w:r>
      <w:r w:rsidR="00920EBD">
        <w:t xml:space="preserve">Subsequent Conditional </w:t>
      </w:r>
      <w:proofErr w:type="spellStart"/>
      <w:r w:rsidR="00920EBD">
        <w:t>PSCell</w:t>
      </w:r>
      <w:proofErr w:type="spellEnd"/>
      <w:r w:rsidR="00920EBD">
        <w:t xml:space="preserve"> Addition or Change (</w:t>
      </w:r>
      <w:r w:rsidR="00475AD9">
        <w:t>S</w:t>
      </w:r>
      <w:r w:rsidR="00920EBD">
        <w:t>ubsequent CPAC)</w:t>
      </w:r>
      <w:r>
        <w:t xml:space="preserve"> has been standardized during Rel-18 </w:t>
      </w:r>
      <w:r>
        <w:fldChar w:fldCharType="begin"/>
      </w:r>
      <w:r>
        <w:instrText xml:space="preserve"> REF _Ref162445270 \n \h </w:instrText>
      </w:r>
      <w:r>
        <w:fldChar w:fldCharType="separate"/>
      </w:r>
      <w:r w:rsidR="00920EBD">
        <w:t>[1]</w:t>
      </w:r>
      <w:r>
        <w:fldChar w:fldCharType="end"/>
      </w:r>
      <w:r w:rsidR="0076693A">
        <w:t>.</w:t>
      </w:r>
      <w:r w:rsidR="00920EBD">
        <w:t xml:space="preserve"> </w:t>
      </w:r>
      <w:r w:rsidR="0076693A">
        <w:t>The solution</w:t>
      </w:r>
      <w:r w:rsidR="00920EBD">
        <w:t xml:space="preserve"> </w:t>
      </w:r>
      <w:r>
        <w:t>support</w:t>
      </w:r>
      <w:r w:rsidR="00920EBD">
        <w:t>s</w:t>
      </w:r>
      <w:r>
        <w:t xml:space="preserve"> an early preparation of future subsequent conditional changes, </w:t>
      </w:r>
      <w:r w:rsidR="00CA500F">
        <w:t>i.e. both the UE and the candidate nodes keep their conditional</w:t>
      </w:r>
      <w:r>
        <w:t xml:space="preserve"> configurations </w:t>
      </w:r>
      <w:r w:rsidR="00920EBD">
        <w:t xml:space="preserve">after the cell change </w:t>
      </w:r>
      <w:proofErr w:type="gramStart"/>
      <w:r w:rsidR="00920EBD">
        <w:t xml:space="preserve">in order </w:t>
      </w:r>
      <w:r>
        <w:t>to</w:t>
      </w:r>
      <w:proofErr w:type="gramEnd"/>
      <w:r>
        <w:t xml:space="preserve"> reduce the signa</w:t>
      </w:r>
      <w:r w:rsidR="00CA500F">
        <w:t>l</w:t>
      </w:r>
      <w:r>
        <w:t>ling overhead</w:t>
      </w:r>
      <w:r w:rsidR="00CA500F">
        <w:t xml:space="preserve"> and strengthen mobility robustness</w:t>
      </w:r>
      <w:r>
        <w:t>.</w:t>
      </w:r>
      <w:r w:rsidR="00932110">
        <w:t xml:space="preserve"> On the other hand, </w:t>
      </w:r>
      <w:r w:rsidR="00920EBD">
        <w:t xml:space="preserve">the classical </w:t>
      </w:r>
      <w:r w:rsidR="00932110">
        <w:t>CP</w:t>
      </w:r>
      <w:r w:rsidR="00920EBD">
        <w:t>A</w:t>
      </w:r>
      <w:r w:rsidR="00932110">
        <w:t xml:space="preserve">C releases the preparations and configurations </w:t>
      </w:r>
      <w:r w:rsidR="00920EBD">
        <w:t>of</w:t>
      </w:r>
      <w:r w:rsidR="00932110">
        <w:t xml:space="preserve"> the candidates</w:t>
      </w:r>
      <w:r w:rsidR="00920EBD">
        <w:t xml:space="preserve"> </w:t>
      </w:r>
      <w:r w:rsidR="00AE1EAE">
        <w:t xml:space="preserve">that were not selected </w:t>
      </w:r>
      <w:r w:rsidR="00920EBD">
        <w:t>after the handover</w:t>
      </w:r>
      <w:r w:rsidR="00932110">
        <w:t xml:space="preserve">, which </w:t>
      </w:r>
      <w:r w:rsidR="00052710">
        <w:t>might have the advantage that only those candidates are prepared that relevant for each change</w:t>
      </w:r>
      <w:r w:rsidR="009A209A">
        <w:t xml:space="preserve"> and resources are not blocked longer than needed</w:t>
      </w:r>
      <w:r w:rsidR="00932110">
        <w:t>.</w:t>
      </w:r>
    </w:p>
    <w:p w14:paraId="5B828CE0" w14:textId="03976622" w:rsidR="00A364AB" w:rsidRDefault="009A209A" w:rsidP="000D3011">
      <w:r>
        <w:t xml:space="preserve">SON/MRO enhancements </w:t>
      </w:r>
      <w:r w:rsidR="00AE1EAE">
        <w:t xml:space="preserve">for the </w:t>
      </w:r>
      <w:r>
        <w:t xml:space="preserve">subsequent CPAC have been </w:t>
      </w:r>
      <w:r w:rsidR="00AE1EAE">
        <w:t xml:space="preserve">requested </w:t>
      </w:r>
      <w:r w:rsidR="00A364AB">
        <w:t xml:space="preserve">in WID </w:t>
      </w:r>
      <w:r w:rsidR="006A0E46">
        <w:fldChar w:fldCharType="begin"/>
      </w:r>
      <w:r w:rsidR="006A0E46">
        <w:instrText xml:space="preserve"> REF _Ref162447721 \n \h </w:instrText>
      </w:r>
      <w:r w:rsidR="006A0E46">
        <w:fldChar w:fldCharType="separate"/>
      </w:r>
      <w:r w:rsidR="00A364AB">
        <w:t>[2]</w:t>
      </w:r>
      <w:r w:rsidR="006A0E46">
        <w:fldChar w:fldCharType="end"/>
      </w:r>
      <w:r w:rsidR="00A364AB">
        <w:t xml:space="preserve"> (see excerpt).</w:t>
      </w:r>
    </w:p>
    <w:p w14:paraId="46E7436A" w14:textId="1E7723C1" w:rsidR="00A364AB" w:rsidRDefault="00A364AB" w:rsidP="000D3011">
      <w:r>
        <w:rPr>
          <w:noProof/>
        </w:rPr>
        <mc:AlternateContent>
          <mc:Choice Requires="wps">
            <w:drawing>
              <wp:inline distT="0" distB="0" distL="0" distR="0" wp14:anchorId="5BA36F3D" wp14:editId="7CABDF20">
                <wp:extent cx="6122035" cy="640649"/>
                <wp:effectExtent l="0" t="0" r="1206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40649"/>
                        </a:xfrm>
                        <a:prstGeom prst="rect">
                          <a:avLst/>
                        </a:prstGeom>
                        <a:solidFill>
                          <a:srgbClr val="FFFFFF"/>
                        </a:solidFill>
                        <a:ln w="9525">
                          <a:solidFill>
                            <a:srgbClr val="000000"/>
                          </a:solidFill>
                          <a:miter lim="800000"/>
                          <a:headEnd/>
                          <a:tailEnd/>
                        </a:ln>
                      </wps:spPr>
                      <wps:txbx>
                        <w:txbxContent>
                          <w:p w14:paraId="311219DE" w14:textId="77777777" w:rsidR="00A364AB" w:rsidRPr="00A364AB" w:rsidRDefault="00A364AB" w:rsidP="00A364AB">
                            <w:pPr>
                              <w:spacing w:before="120" w:line="280" w:lineRule="atLeast"/>
                              <w:rPr>
                                <w:rFonts w:eastAsia="SimSun"/>
                                <w:lang w:val="en-US"/>
                              </w:rPr>
                            </w:pPr>
                            <w:r>
                              <w:rPr>
                                <w:rFonts w:eastAsia="SimSun"/>
                              </w:rPr>
                              <w:t>- MRO enhancement for R18 mobility mechanisms, including</w:t>
                            </w:r>
                            <w:r>
                              <w:t xml:space="preserve">, </w:t>
                            </w:r>
                            <w:r>
                              <w:rPr>
                                <w:rFonts w:eastAsia="SimSun"/>
                              </w:rPr>
                              <w:t xml:space="preserve">Lower layer triggered mobility (LTM), CHO with candidate SCGs, </w:t>
                            </w:r>
                            <w:r w:rsidRPr="00A364AB">
                              <w:rPr>
                                <w:rFonts w:eastAsia="SimSun"/>
                                <w:highlight w:val="yellow"/>
                              </w:rPr>
                              <w:t>subsequent CPAC</w:t>
                            </w:r>
                            <w:r>
                              <w:rPr>
                                <w:rFonts w:eastAsia="SimSun"/>
                              </w:rPr>
                              <w:t xml:space="preserve"> [RAN3, RAN2]:</w:t>
                            </w:r>
                          </w:p>
                        </w:txbxContent>
                      </wps:txbx>
                      <wps:bodyPr rot="0" vert="horz" wrap="square" lIns="91440" tIns="45720" rIns="91440" bIns="45720" anchor="t" anchorCtr="0">
                        <a:spAutoFit/>
                      </wps:bodyPr>
                    </wps:wsp>
                  </a:graphicData>
                </a:graphic>
              </wp:inline>
            </w:drawing>
          </mc:Choice>
          <mc:Fallback>
            <w:pict>
              <v:shapetype w14:anchorId="5BA36F3D" id="_x0000_t202" coordsize="21600,21600" o:spt="202" path="m,l,21600r21600,l21600,xe">
                <v:stroke joinstyle="miter"/>
                <v:path gradientshapeok="t" o:connecttype="rect"/>
              </v:shapetype>
              <v:shape id="Text Box 2" o:spid="_x0000_s1026" type="#_x0000_t202" style="width:482.05pt;height: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">
                <v:textbox style="mso-fit-shape-to-text:t">
                  <w:txbxContent>
                    <w:p w14:paraId="311219DE" w14:textId="77777777" w:rsidR="00A364AB" w:rsidRPr="00A364AB" w:rsidRDefault="00A364AB" w:rsidP="00A364AB">
                      <w:pPr>
                        <w:spacing w:before="120" w:line="280" w:lineRule="atLeast"/>
                        <w:rPr>
                          <w:rFonts w:eastAsia="SimSun"/>
                          <w:lang w:val="en-US"/>
                        </w:rPr>
                      </w:pPr>
                      <w:r>
                        <w:rPr>
                          <w:rFonts w:eastAsia="SimSun"/>
                        </w:rPr>
                        <w:t>- MRO enhancement for R18 mobility mechanisms, including</w:t>
                      </w:r>
                      <w:r>
                        <w:t xml:space="preserve">, </w:t>
                      </w:r>
                      <w:r>
                        <w:rPr>
                          <w:rFonts w:eastAsia="SimSun"/>
                        </w:rPr>
                        <w:t xml:space="preserve">Lower layer triggered mobility (LTM), CHO with candidate SCGs, </w:t>
                      </w:r>
                      <w:r w:rsidRPr="00A364AB">
                        <w:rPr>
                          <w:rFonts w:eastAsia="SimSun"/>
                          <w:highlight w:val="yellow"/>
                        </w:rPr>
                        <w:t>subsequent CPAC</w:t>
                      </w:r>
                      <w:r>
                        <w:rPr>
                          <w:rFonts w:eastAsia="SimSun"/>
                        </w:rPr>
                        <w:t xml:space="preserve"> [RAN3, RAN2]:</w:t>
                      </w:r>
                    </w:p>
                  </w:txbxContent>
                </v:textbox>
                <w10:anchorlock/>
              </v:shape>
            </w:pict>
          </mc:Fallback>
        </mc:AlternateContent>
      </w:r>
    </w:p>
    <w:p w14:paraId="4E3334FE" w14:textId="45F29733" w:rsidR="00AA665D" w:rsidRDefault="009A209A" w:rsidP="000D3011">
      <w:r>
        <w:t xml:space="preserve">Finding a </w:t>
      </w:r>
      <w:r w:rsidR="00052710">
        <w:t xml:space="preserve">SON </w:t>
      </w:r>
      <w:r w:rsidR="00A364AB">
        <w:t>method</w:t>
      </w:r>
      <w:r>
        <w:t xml:space="preserve"> that identifies those cell changes where subsequent CPAC outperforms the classic approach</w:t>
      </w:r>
      <w:r w:rsidR="007E4315">
        <w:t xml:space="preserve"> is discussed in this paper.</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2068173C" w14:textId="279C3AB2" w:rsidR="00672B47" w:rsidRDefault="00052710" w:rsidP="00EA012D">
      <w:r>
        <w:t xml:space="preserve">Depending on the deployment situation (cells or a cell layout) in combination with the UE movement through it, either classic or subsequent CPAC would be the preferred method. Since planning tools based on empirical propagation models are not able to predict shadowing and over-shooters in that detail that mobility type can </w:t>
      </w:r>
      <w:r w:rsidR="00672B47">
        <w:t xml:space="preserve">be </w:t>
      </w:r>
      <w:r>
        <w:t>decided, a SON method might be helpful to apply the right method.</w:t>
      </w:r>
    </w:p>
    <w:p w14:paraId="50100A87" w14:textId="02BFD42D" w:rsidR="009F17D1" w:rsidRDefault="00EA012D" w:rsidP="00EA012D">
      <w:r>
        <w:t xml:space="preserve">Let’s assume that for a UE served in </w:t>
      </w:r>
      <w:proofErr w:type="spellStart"/>
      <w:r>
        <w:t>PSCell</w:t>
      </w:r>
      <w:proofErr w:type="spellEnd"/>
      <w:r>
        <w:t xml:space="preserve"> 1 </w:t>
      </w:r>
      <w:r w:rsidR="009F17D1">
        <w:t xml:space="preserve">three potential candidate target cells are to be prepared (say </w:t>
      </w:r>
      <w:proofErr w:type="spellStart"/>
      <w:r>
        <w:t>PSCell</w:t>
      </w:r>
      <w:proofErr w:type="spellEnd"/>
      <w:r>
        <w:t xml:space="preserve"> 2, 3 and 4</w:t>
      </w:r>
      <w:r w:rsidR="009F17D1">
        <w:t xml:space="preserve">), and UE is configured by means of </w:t>
      </w:r>
      <w:proofErr w:type="spellStart"/>
      <w:r w:rsidR="009F17D1">
        <w:t>RRCReconfiguration</w:t>
      </w:r>
      <w:proofErr w:type="spellEnd"/>
      <w:r w:rsidR="009F17D1">
        <w:t xml:space="preserve"> w/ sync message inclu</w:t>
      </w:r>
      <w:r w:rsidR="006A0E46">
        <w:t>ding</w:t>
      </w:r>
      <w:r w:rsidR="009F17D1">
        <w:t xml:space="preserve"> the </w:t>
      </w:r>
      <w:proofErr w:type="spellStart"/>
      <w:r w:rsidR="009F17D1">
        <w:t>condConfig</w:t>
      </w:r>
      <w:proofErr w:type="spellEnd"/>
      <w:r w:rsidR="009F17D1">
        <w:t xml:space="preserve"> parameters for th</w:t>
      </w:r>
      <w:r w:rsidR="006A0E46">
        <w:t>ose</w:t>
      </w:r>
      <w:r w:rsidR="009F17D1">
        <w:t xml:space="preserve"> 3 envisaged target cells. </w:t>
      </w:r>
    </w:p>
    <w:p w14:paraId="4CEC3945" w14:textId="726FB036" w:rsidR="00EA012D" w:rsidRDefault="00EA012D" w:rsidP="00EA012D">
      <w:r>
        <w:t xml:space="preserve">In case of </w:t>
      </w:r>
      <w:r w:rsidR="00475AD9">
        <w:t>S</w:t>
      </w:r>
      <w:r w:rsidR="006A0E46" w:rsidRPr="006A0E46">
        <w:t>ubsequent CPAC</w:t>
      </w:r>
      <w:r w:rsidR="009F17D1">
        <w:t xml:space="preserve">, </w:t>
      </w:r>
      <w:r w:rsidR="006A0E46">
        <w:t xml:space="preserve">also </w:t>
      </w:r>
      <w:r w:rsidR="00652287">
        <w:t xml:space="preserve">all </w:t>
      </w:r>
      <w:r w:rsidR="006A0E46">
        <w:t>fur</w:t>
      </w:r>
      <w:r w:rsidR="00652287">
        <w:t xml:space="preserve">ther potential subsequent </w:t>
      </w:r>
      <w:proofErr w:type="spellStart"/>
      <w:r>
        <w:t>condConfig</w:t>
      </w:r>
      <w:proofErr w:type="spellEnd"/>
      <w:r>
        <w:t xml:space="preserve"> measurement settings </w:t>
      </w:r>
      <w:r w:rsidR="00652287">
        <w:t>are to be requested</w:t>
      </w:r>
      <w:r>
        <w:t xml:space="preserve"> to configure the UE in advance</w:t>
      </w:r>
      <w:r w:rsidR="00652287">
        <w:t xml:space="preserve">. In case of </w:t>
      </w:r>
      <w:r w:rsidR="006A0E46">
        <w:t xml:space="preserve">classic </w:t>
      </w:r>
      <w:r w:rsidR="00652287">
        <w:t>CPC, the UE is prepared for the first hop with following three</w:t>
      </w:r>
      <w:r>
        <w:t xml:space="preserve"> </w:t>
      </w:r>
      <w:proofErr w:type="spellStart"/>
      <w:r>
        <w:t>condConfig</w:t>
      </w:r>
      <w:proofErr w:type="spellEnd"/>
      <w:r>
        <w:t xml:space="preserve"> </w:t>
      </w:r>
      <w:r w:rsidR="00652287">
        <w:t xml:space="preserve">using the A3-event, for instance: </w:t>
      </w:r>
      <w:r>
        <w:t>A3(P1-&gt;P2), A3(P1-&gt;P3), A3(P1-&gt;P4)</w:t>
      </w:r>
      <w:r w:rsidR="00652287">
        <w:t>. However, i</w:t>
      </w:r>
      <w:r>
        <w:t xml:space="preserve">n case of </w:t>
      </w:r>
      <w:r w:rsidR="006A0E46">
        <w:t>subsequent CPAC</w:t>
      </w:r>
      <w:r w:rsidR="00652287">
        <w:t xml:space="preserve">, the </w:t>
      </w:r>
      <w:r>
        <w:t xml:space="preserve">UE is </w:t>
      </w:r>
      <w:r w:rsidR="00652287">
        <w:t xml:space="preserve">also </w:t>
      </w:r>
      <w:r>
        <w:t xml:space="preserve">configured with further following </w:t>
      </w:r>
      <w:proofErr w:type="spellStart"/>
      <w:r>
        <w:t>condConfig</w:t>
      </w:r>
      <w:proofErr w:type="spellEnd"/>
      <w:r>
        <w:t xml:space="preserve"> </w:t>
      </w:r>
      <w:r w:rsidR="00652287">
        <w:t>events for the potential subsequent hops:</w:t>
      </w:r>
    </w:p>
    <w:p w14:paraId="1D5DFBA3" w14:textId="77777777" w:rsidR="00EA012D" w:rsidRDefault="00EA012D" w:rsidP="0058602F">
      <w:pPr>
        <w:pStyle w:val="ListParagraph"/>
        <w:numPr>
          <w:ilvl w:val="0"/>
          <w:numId w:val="2"/>
        </w:numPr>
      </w:pPr>
      <w:r>
        <w:t xml:space="preserve">from </w:t>
      </w:r>
      <w:proofErr w:type="spellStart"/>
      <w:r>
        <w:t>PSCell</w:t>
      </w:r>
      <w:proofErr w:type="spellEnd"/>
      <w:r>
        <w:t xml:space="preserve"> 2: A3(P2-&gt;P1), A3(P2-&gt;P3), A3(P2-&gt;P4)</w:t>
      </w:r>
    </w:p>
    <w:p w14:paraId="398B6173" w14:textId="77777777" w:rsidR="00EA012D" w:rsidRDefault="00EA012D" w:rsidP="0058602F">
      <w:pPr>
        <w:pStyle w:val="ListParagraph"/>
        <w:numPr>
          <w:ilvl w:val="0"/>
          <w:numId w:val="2"/>
        </w:numPr>
      </w:pPr>
      <w:r>
        <w:t xml:space="preserve">from </w:t>
      </w:r>
      <w:proofErr w:type="spellStart"/>
      <w:r>
        <w:t>PSCell</w:t>
      </w:r>
      <w:proofErr w:type="spellEnd"/>
      <w:r>
        <w:t xml:space="preserve"> 3: A3(P3-&gt;P1), A3(P3-&gt;P2), A3(P3-&gt;P4)</w:t>
      </w:r>
    </w:p>
    <w:p w14:paraId="33264C53" w14:textId="77777777" w:rsidR="00EA012D" w:rsidRDefault="00EA012D" w:rsidP="0058602F">
      <w:pPr>
        <w:pStyle w:val="ListParagraph"/>
        <w:numPr>
          <w:ilvl w:val="0"/>
          <w:numId w:val="2"/>
        </w:numPr>
      </w:pPr>
      <w:r>
        <w:t xml:space="preserve">from </w:t>
      </w:r>
      <w:proofErr w:type="spellStart"/>
      <w:r>
        <w:t>PSCell</w:t>
      </w:r>
      <w:proofErr w:type="spellEnd"/>
      <w:r>
        <w:t xml:space="preserve"> 4: A3(P4-&gt;P1), A3(P4-&gt;P2), A3(P4-&gt;P3)</w:t>
      </w:r>
    </w:p>
    <w:p w14:paraId="5D632846" w14:textId="13717AE2" w:rsidR="00A85F13" w:rsidRDefault="00A85F13" w:rsidP="00A85F13">
      <w:r>
        <w:t xml:space="preserve">Let’s further assume that UE chooses </w:t>
      </w:r>
      <w:proofErr w:type="spellStart"/>
      <w:r>
        <w:t>PSCell</w:t>
      </w:r>
      <w:proofErr w:type="spellEnd"/>
      <w:r>
        <w:t xml:space="preserve"> 4 for conditional cell change</w:t>
      </w:r>
      <w:r w:rsidR="044B57CC">
        <w:t>. I</w:t>
      </w:r>
      <w:r>
        <w:t xml:space="preserve">n case of </w:t>
      </w:r>
      <w:r w:rsidR="006A0E46">
        <w:t xml:space="preserve">classic </w:t>
      </w:r>
      <w:r>
        <w:t>CPC</w:t>
      </w:r>
      <w:r w:rsidR="00672B47">
        <w:t>,</w:t>
      </w:r>
      <w:r>
        <w:t xml:space="preserve"> the </w:t>
      </w:r>
      <w:r w:rsidR="006A0E46">
        <w:t xml:space="preserve">handover </w:t>
      </w:r>
      <w:r>
        <w:t xml:space="preserve">preparations of </w:t>
      </w:r>
      <w:proofErr w:type="spellStart"/>
      <w:r>
        <w:t>PSCell</w:t>
      </w:r>
      <w:proofErr w:type="spellEnd"/>
      <w:r>
        <w:t xml:space="preserve"> 2, 3 are released by sending </w:t>
      </w:r>
      <w:proofErr w:type="spellStart"/>
      <w:r>
        <w:t>SgNB</w:t>
      </w:r>
      <w:proofErr w:type="spellEnd"/>
      <w:r>
        <w:t xml:space="preserve"> Release Request messages</w:t>
      </w:r>
      <w:r w:rsidR="006A0E46">
        <w:t xml:space="preserve"> to the corresponding nodes</w:t>
      </w:r>
      <w:r>
        <w:t>, and the UE is newly configured with default measurement which will trigger another CPC preparation. An</w:t>
      </w:r>
      <w:r w:rsidR="006E735F">
        <w:t>other</w:t>
      </w:r>
      <w:r>
        <w:t xml:space="preserve"> immediate CPC </w:t>
      </w:r>
      <w:r w:rsidR="006E735F">
        <w:t xml:space="preserve">execution </w:t>
      </w:r>
      <w:r w:rsidR="00475AD9">
        <w:t>would be</w:t>
      </w:r>
      <w:r>
        <w:t xml:space="preserve"> not possible, since UE </w:t>
      </w:r>
      <w:proofErr w:type="gramStart"/>
      <w:r>
        <w:t>has to</w:t>
      </w:r>
      <w:proofErr w:type="gramEnd"/>
      <w:r>
        <w:t xml:space="preserve"> go through the preparation phase before HO can be executed, which is disadvantage of </w:t>
      </w:r>
      <w:r w:rsidR="00475AD9">
        <w:t xml:space="preserve">the classic </w:t>
      </w:r>
      <w:r>
        <w:t>CPC. The advantage is</w:t>
      </w:r>
      <w:r w:rsidR="00672B47">
        <w:t>,</w:t>
      </w:r>
      <w:r>
        <w:t xml:space="preserve"> however</w:t>
      </w:r>
      <w:r w:rsidR="00672B47">
        <w:t>,</w:t>
      </w:r>
      <w:r>
        <w:t xml:space="preserve"> that blocked resources </w:t>
      </w:r>
      <w:r w:rsidR="203B71E3">
        <w:t xml:space="preserve">in </w:t>
      </w:r>
      <w:r>
        <w:t>unused target cell</w:t>
      </w:r>
      <w:r w:rsidR="00AC74F1">
        <w:t>s</w:t>
      </w:r>
      <w:r>
        <w:t xml:space="preserve"> are freed, if they are not as potential candidates</w:t>
      </w:r>
      <w:r w:rsidR="00AC74F1">
        <w:t xml:space="preserve"> for the time being</w:t>
      </w:r>
      <w:r>
        <w:t>.</w:t>
      </w:r>
    </w:p>
    <w:p w14:paraId="7BFD0C46" w14:textId="4144318E" w:rsidR="00853CEC" w:rsidRDefault="660526CA" w:rsidP="00672B47">
      <w:r>
        <w:lastRenderedPageBreak/>
        <w:t>In the case of</w:t>
      </w:r>
      <w:r w:rsidR="00AC74F1">
        <w:t xml:space="preserve"> </w:t>
      </w:r>
      <w:r w:rsidR="00475AD9">
        <w:t>Subsequent CPAC</w:t>
      </w:r>
      <w:r w:rsidR="00AC74F1">
        <w:t xml:space="preserve">, the </w:t>
      </w:r>
      <w:r w:rsidR="00475AD9">
        <w:t xml:space="preserve">handover </w:t>
      </w:r>
      <w:r w:rsidR="00AC74F1">
        <w:t xml:space="preserve">preparations of </w:t>
      </w:r>
      <w:proofErr w:type="spellStart"/>
      <w:r w:rsidR="00AC74F1">
        <w:t>PSCell</w:t>
      </w:r>
      <w:proofErr w:type="spellEnd"/>
      <w:r w:rsidR="00AC74F1">
        <w:t xml:space="preserve"> 2, 3 </w:t>
      </w:r>
      <w:r w:rsidR="4C913B20">
        <w:t>are retained</w:t>
      </w:r>
      <w:r w:rsidR="00AC74F1">
        <w:t xml:space="preserve"> and the previous</w:t>
      </w:r>
      <w:r w:rsidR="0C5D6420">
        <w:t>ly serving</w:t>
      </w:r>
      <w:r w:rsidR="00AC74F1">
        <w:t xml:space="preserve"> </w:t>
      </w:r>
      <w:proofErr w:type="spellStart"/>
      <w:r w:rsidR="00AC74F1">
        <w:t>PSCell</w:t>
      </w:r>
      <w:proofErr w:type="spellEnd"/>
      <w:r w:rsidR="00AC74F1">
        <w:t xml:space="preserve"> 1 </w:t>
      </w:r>
      <w:r w:rsidR="00672B47">
        <w:t xml:space="preserve">may even </w:t>
      </w:r>
      <w:r w:rsidR="00AC74F1">
        <w:t>be prepared as candidate target</w:t>
      </w:r>
      <w:r w:rsidR="00475AD9">
        <w:t xml:space="preserve"> of the current serving </w:t>
      </w:r>
      <w:proofErr w:type="spellStart"/>
      <w:r w:rsidR="00475AD9">
        <w:t>PSCell</w:t>
      </w:r>
      <w:proofErr w:type="spellEnd"/>
      <w:r w:rsidR="00475AD9">
        <w:t xml:space="preserve"> 4</w:t>
      </w:r>
      <w:r w:rsidR="00AC74F1">
        <w:t xml:space="preserve">. UE activates the </w:t>
      </w:r>
      <w:proofErr w:type="spellStart"/>
      <w:r w:rsidR="00AC74F1">
        <w:t>condConfig</w:t>
      </w:r>
      <w:proofErr w:type="spellEnd"/>
      <w:r w:rsidR="00AC74F1">
        <w:t xml:space="preserve"> for </w:t>
      </w:r>
      <w:proofErr w:type="spellStart"/>
      <w:r w:rsidR="00AC74F1">
        <w:t>PSCell</w:t>
      </w:r>
      <w:proofErr w:type="spellEnd"/>
      <w:r w:rsidR="00AC74F1">
        <w:t xml:space="preserve"> 4: A3(P4-&gt;P1), A3(P4-&gt;P2), A3(P4-&gt;P3) for the conditional autonomous HO execution, while deactivating the former conditional execution criterion for </w:t>
      </w:r>
      <w:proofErr w:type="spellStart"/>
      <w:r w:rsidR="00AC74F1">
        <w:t>PSCell</w:t>
      </w:r>
      <w:proofErr w:type="spellEnd"/>
      <w:r w:rsidR="00AC74F1">
        <w:t xml:space="preserve"> 1. The advantage is that an immediate UE autonomous HO execution for fast subsequent cell changes is possible. </w:t>
      </w:r>
      <w:r w:rsidR="00672B47">
        <w:t>H</w:t>
      </w:r>
      <w:r w:rsidR="00AC74F1">
        <w:t>owever</w:t>
      </w:r>
      <w:r w:rsidR="00672B47">
        <w:t>, if</w:t>
      </w:r>
      <w:r w:rsidR="00AC74F1">
        <w:t xml:space="preserve"> such an immediate cell change is not needed, the resource blockage resulting from </w:t>
      </w:r>
      <w:r w:rsidR="00475AD9">
        <w:t xml:space="preserve">the </w:t>
      </w:r>
      <w:r w:rsidR="00AC74F1">
        <w:t xml:space="preserve">prepared and unused </w:t>
      </w:r>
      <w:r w:rsidR="00475AD9">
        <w:t xml:space="preserve">candidate </w:t>
      </w:r>
      <w:r w:rsidR="00AC74F1">
        <w:t xml:space="preserve">cells can be seen as disadvantage, as well as the increased UE memory </w:t>
      </w:r>
      <w:r w:rsidR="00475AD9">
        <w:t>needed because of the</w:t>
      </w:r>
      <w:r w:rsidR="00AC74F1">
        <w:t xml:space="preserve"> numerous </w:t>
      </w:r>
      <w:proofErr w:type="spellStart"/>
      <w:r w:rsidR="00AC74F1">
        <w:t>condConfig</w:t>
      </w:r>
      <w:proofErr w:type="spellEnd"/>
      <w:r w:rsidR="00AC74F1">
        <w:t xml:space="preserve"> options for each potential future hop.</w:t>
      </w:r>
      <w:r w:rsidR="004842F3">
        <w:t xml:space="preserve"> </w:t>
      </w:r>
      <w:r w:rsidR="00475AD9">
        <w:t>Obviously, t</w:t>
      </w:r>
      <w:r w:rsidR="00AC74F1">
        <w:t xml:space="preserve">here </w:t>
      </w:r>
      <w:r w:rsidR="00475AD9">
        <w:t>are disputable</w:t>
      </w:r>
      <w:r w:rsidR="00AC74F1">
        <w:t xml:space="preserve"> pros and cons for two methods </w:t>
      </w:r>
      <w:r w:rsidR="00475AD9">
        <w:t xml:space="preserve">CPAC methods </w:t>
      </w:r>
      <w:r w:rsidR="00AC74F1">
        <w:t>(</w:t>
      </w:r>
      <w:r w:rsidR="00475AD9">
        <w:t>classical vs. subsequent</w:t>
      </w:r>
      <w:r w:rsidR="00AC74F1">
        <w:t xml:space="preserve">) which depend on </w:t>
      </w:r>
      <w:r w:rsidR="00853CEC">
        <w:t xml:space="preserve">dedicated cell layout situations. In case of fast subsequent cell changes </w:t>
      </w:r>
      <w:r w:rsidR="00254258">
        <w:t>the “Subsequent CPAC”</w:t>
      </w:r>
      <w:r w:rsidR="00853CEC">
        <w:t xml:space="preserve"> is the preferred method.</w:t>
      </w:r>
    </w:p>
    <w:p w14:paraId="76DC0278" w14:textId="37AD3A8A" w:rsidR="009462DC" w:rsidRPr="009462DC" w:rsidRDefault="009462DC" w:rsidP="00853CEC">
      <w:pPr>
        <w:rPr>
          <w:b/>
          <w:bCs/>
        </w:rPr>
      </w:pPr>
      <w:r w:rsidRPr="009462DC">
        <w:rPr>
          <w:b/>
          <w:bCs/>
        </w:rPr>
        <w:t>Observation: Depending on the cell deployment and UE mobility, usage of either CPAC or S-CPAC may result in more efficient resource utilisation in involved cells.</w:t>
      </w:r>
    </w:p>
    <w:p w14:paraId="596D045D" w14:textId="42DEA4F8" w:rsidR="00853CEC" w:rsidRDefault="00254258" w:rsidP="00853CEC">
      <w:r>
        <w:t>Since optimal method cannot be planned and the WID</w:t>
      </w:r>
      <w:r w:rsidR="00853CEC">
        <w:t xml:space="preserve"> </w:t>
      </w:r>
      <w:r w:rsidR="000E7D7E">
        <w:t xml:space="preserve">foresees the “Subsequent CPAC” as topic where SON is to be applied, it is proposed that </w:t>
      </w:r>
      <w:r w:rsidR="00B8199E">
        <w:t xml:space="preserve">RAN3 should </w:t>
      </w:r>
      <w:r w:rsidR="000E7D7E">
        <w:t xml:space="preserve">agree to work for </w:t>
      </w:r>
      <w:r w:rsidR="00B8199E">
        <w:t xml:space="preserve">a SON method that allows </w:t>
      </w:r>
      <w:r w:rsidR="00853CEC" w:rsidRPr="00853CEC">
        <w:t xml:space="preserve">for judging which </w:t>
      </w:r>
      <w:r w:rsidR="000E7D7E">
        <w:t>CPAC</w:t>
      </w:r>
      <w:r w:rsidR="00853CEC" w:rsidRPr="00853CEC">
        <w:t xml:space="preserve"> procedure (either </w:t>
      </w:r>
      <w:r w:rsidR="000E7D7E">
        <w:t>classic or subsequent</w:t>
      </w:r>
      <w:r w:rsidR="00853CEC" w:rsidRPr="00853CEC">
        <w:t xml:space="preserve">) is the optimal for a specific cell border within the considered SCG or for a whole set of </w:t>
      </w:r>
      <w:proofErr w:type="spellStart"/>
      <w:r w:rsidR="00853CEC" w:rsidRPr="00853CEC">
        <w:t>PSCells</w:t>
      </w:r>
      <w:proofErr w:type="spellEnd"/>
      <w:r w:rsidR="00853CEC" w:rsidRPr="00853CEC">
        <w:t xml:space="preserve"> within the considered SCG.</w:t>
      </w:r>
    </w:p>
    <w:p w14:paraId="2BE5A516" w14:textId="7E1BF52A" w:rsidR="00B8199E" w:rsidRDefault="009812D0" w:rsidP="007C75EB">
      <w:pPr>
        <w:rPr>
          <w:b/>
          <w:bCs/>
          <w:lang w:val="en-US"/>
        </w:rPr>
      </w:pPr>
      <w:r w:rsidRPr="003F2210">
        <w:rPr>
          <w:b/>
          <w:bCs/>
          <w:lang w:val="en-US"/>
        </w:rPr>
        <w:t xml:space="preserve">Proposal: </w:t>
      </w:r>
      <w:r>
        <w:rPr>
          <w:b/>
          <w:bCs/>
          <w:lang w:val="en-US"/>
        </w:rPr>
        <w:t xml:space="preserve">RAN3 </w:t>
      </w:r>
      <w:r w:rsidR="00B8199E">
        <w:rPr>
          <w:b/>
          <w:bCs/>
          <w:lang w:val="en-US"/>
        </w:rPr>
        <w:t xml:space="preserve">agrees to </w:t>
      </w:r>
      <w:r w:rsidR="000E7D7E">
        <w:rPr>
          <w:b/>
          <w:bCs/>
          <w:lang w:val="en-US"/>
        </w:rPr>
        <w:t xml:space="preserve">provide a SON method for </w:t>
      </w:r>
      <w:r w:rsidR="009462DC">
        <w:rPr>
          <w:b/>
          <w:bCs/>
          <w:lang w:val="en-US"/>
        </w:rPr>
        <w:t xml:space="preserve">supporting decisions on </w:t>
      </w:r>
      <w:r w:rsidR="00B8199E">
        <w:rPr>
          <w:b/>
          <w:bCs/>
          <w:lang w:val="en-US"/>
        </w:rPr>
        <w:t xml:space="preserve">usage of </w:t>
      </w:r>
      <w:r w:rsidR="000E7D7E">
        <w:rPr>
          <w:b/>
          <w:bCs/>
          <w:lang w:val="en-US"/>
        </w:rPr>
        <w:t>Subsequent CPAC</w:t>
      </w:r>
      <w:r w:rsidR="009462DC">
        <w:rPr>
          <w:b/>
          <w:bCs/>
          <w:lang w:val="en-US"/>
        </w:rPr>
        <w:t xml:space="preserve"> in the context of resource </w:t>
      </w:r>
      <w:proofErr w:type="spellStart"/>
      <w:r w:rsidR="009462DC">
        <w:rPr>
          <w:b/>
          <w:bCs/>
          <w:lang w:val="en-US"/>
        </w:rPr>
        <w:t>utilisation</w:t>
      </w:r>
      <w:proofErr w:type="spellEnd"/>
      <w:r w:rsidR="00B8199E">
        <w:rPr>
          <w:b/>
          <w:bCs/>
          <w:lang w:val="en-U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0E2DAFD3" w14:textId="1DBBEC19" w:rsidR="006A75E8" w:rsidRDefault="002F4257" w:rsidP="002424B8">
      <w:pPr>
        <w:jc w:val="both"/>
        <w:rPr>
          <w:bCs/>
        </w:rPr>
      </w:pPr>
      <w:r>
        <w:rPr>
          <w:bCs/>
        </w:rPr>
        <w:t>In this paper,</w:t>
      </w:r>
      <w:r w:rsidR="00E92F0B">
        <w:rPr>
          <w:bCs/>
        </w:rPr>
        <w:t xml:space="preserve"> we </w:t>
      </w:r>
      <w:r w:rsidR="00FE7872">
        <w:rPr>
          <w:bCs/>
        </w:rPr>
        <w:t>have shown that the benefits of SA fairly depend on cell layout that result in fast subsequent cell changes and that a SON method could help to identify the situations where SA is to be preferred</w:t>
      </w:r>
      <w:r w:rsidR="002B0907">
        <w:rPr>
          <w:bCs/>
        </w:rPr>
        <w:t>.</w:t>
      </w:r>
    </w:p>
    <w:p w14:paraId="65D18607" w14:textId="6E99F548" w:rsidR="00042B69" w:rsidRDefault="002B0907" w:rsidP="002424B8">
      <w:pPr>
        <w:jc w:val="both"/>
        <w:rPr>
          <w:bCs/>
        </w:rPr>
      </w:pPr>
      <w:r>
        <w:rPr>
          <w:bCs/>
        </w:rPr>
        <w:t>Hereto, we</w:t>
      </w:r>
      <w:r w:rsidR="00BB4EA8">
        <w:rPr>
          <w:bCs/>
        </w:rPr>
        <w:t xml:space="preserve"> </w:t>
      </w:r>
      <w:r w:rsidR="009462DC">
        <w:rPr>
          <w:bCs/>
        </w:rPr>
        <w:t xml:space="preserve">conclude as </w:t>
      </w:r>
      <w:r w:rsidR="00BB4EA8">
        <w:rPr>
          <w:bCs/>
        </w:rPr>
        <w:t>follow</w:t>
      </w:r>
      <w:r w:rsidR="009462DC">
        <w:rPr>
          <w:bCs/>
        </w:rPr>
        <w:t>s</w:t>
      </w:r>
      <w:r w:rsidR="00BB4EA8">
        <w:rPr>
          <w:bCs/>
        </w:rPr>
        <w:t>:</w:t>
      </w:r>
    </w:p>
    <w:p w14:paraId="0767144D" w14:textId="77777777" w:rsidR="000E3B91" w:rsidRPr="009462DC" w:rsidRDefault="000E3B91" w:rsidP="000E3B91">
      <w:pPr>
        <w:rPr>
          <w:b/>
          <w:bCs/>
        </w:rPr>
      </w:pPr>
      <w:r w:rsidRPr="009462DC">
        <w:rPr>
          <w:b/>
          <w:bCs/>
        </w:rPr>
        <w:t>Observation: Depending on the cell deployment and UE mobility, usage of either CPAC or S-CPAC may result in more efficient resource utilisation in involved cells.</w:t>
      </w:r>
    </w:p>
    <w:p w14:paraId="33AFC683" w14:textId="4612BB87" w:rsidR="000E7D7E" w:rsidRPr="000E3B91" w:rsidRDefault="000E3B91" w:rsidP="000E7D7E">
      <w:pPr>
        <w:rPr>
          <w:b/>
          <w:bCs/>
          <w:lang w:val="en-US"/>
        </w:rPr>
      </w:pPr>
      <w:r w:rsidRPr="003F2210">
        <w:rPr>
          <w:b/>
          <w:bCs/>
          <w:lang w:val="en-US"/>
        </w:rPr>
        <w:t xml:space="preserve">Proposal: </w:t>
      </w:r>
      <w:r>
        <w:rPr>
          <w:b/>
          <w:bCs/>
          <w:lang w:val="en-US"/>
        </w:rPr>
        <w:t xml:space="preserve">RAN3 agrees to provide a SON method for supporting decisions on usage of Subsequent CPAC in the context of resource </w:t>
      </w:r>
      <w:proofErr w:type="spellStart"/>
      <w:r>
        <w:rPr>
          <w:b/>
          <w:bCs/>
          <w:lang w:val="en-US"/>
        </w:rPr>
        <w:t>utilisation</w:t>
      </w:r>
      <w:proofErr w:type="spellEnd"/>
      <w:r>
        <w:rPr>
          <w:b/>
          <w:bCs/>
          <w:lang w:val="en-US"/>
        </w:rPr>
        <w:t>.</w:t>
      </w:r>
    </w:p>
    <w:p w14:paraId="2FE9E9C9" w14:textId="79308B49" w:rsidR="008B0D7F" w:rsidRPr="008B0D7F" w:rsidRDefault="000E7D7E" w:rsidP="000E7D7E">
      <w:pPr>
        <w:pStyle w:val="Heading1"/>
      </w:pPr>
      <w:r>
        <w:t>4</w:t>
      </w:r>
      <w:r>
        <w:tab/>
      </w:r>
      <w:r w:rsidR="008B0D7F" w:rsidRPr="008B0D7F">
        <w:t>References</w:t>
      </w:r>
    </w:p>
    <w:p w14:paraId="3BBA89EB" w14:textId="55A96DBE" w:rsidR="008B0D7F" w:rsidRDefault="00920EBD" w:rsidP="0058602F">
      <w:pPr>
        <w:pStyle w:val="ListParagraph"/>
        <w:numPr>
          <w:ilvl w:val="0"/>
          <w:numId w:val="1"/>
        </w:numPr>
        <w:tabs>
          <w:tab w:val="left" w:pos="426"/>
        </w:tabs>
      </w:pPr>
      <w:bookmarkStart w:id="2" w:name="_Ref162445270"/>
      <w:r w:rsidRPr="00920EBD">
        <w:t>3GPP TS 37.340 V18.0.0</w:t>
      </w:r>
      <w:r>
        <w:t>; Evolved Universal Terrestrial Radio Access (E-UTRA) and NR; Multi-connectivity; Stage 2; Release 18</w:t>
      </w:r>
      <w:bookmarkEnd w:id="2"/>
    </w:p>
    <w:p w14:paraId="2C54C749" w14:textId="207D81A3" w:rsidR="00A364AB" w:rsidRDefault="00A364AB" w:rsidP="0058602F">
      <w:pPr>
        <w:pStyle w:val="ListParagraph"/>
        <w:numPr>
          <w:ilvl w:val="0"/>
          <w:numId w:val="1"/>
        </w:numPr>
        <w:tabs>
          <w:tab w:val="left" w:pos="426"/>
        </w:tabs>
      </w:pPr>
      <w:bookmarkStart w:id="3" w:name="_Ref162447721"/>
      <w:r>
        <w:t xml:space="preserve">3GPP </w:t>
      </w:r>
      <w:r w:rsidRPr="00A364AB">
        <w:t>RP-234038</w:t>
      </w:r>
      <w:r>
        <w:t>; New WID on Data collection for SON (Self-</w:t>
      </w:r>
      <w:proofErr w:type="spellStart"/>
      <w:r>
        <w:t>Organising</w:t>
      </w:r>
      <w:proofErr w:type="spellEnd"/>
      <w:r>
        <w:t xml:space="preserve"> Networks)/MDT (Minimization of Drive Tests) in NR standalone and MR-DC (Multi-Radio Dual Connectivity) Phase 4; (NR_ENDC_SON_MDT_Ph4-Core)</w:t>
      </w:r>
      <w:bookmarkEnd w:id="3"/>
    </w:p>
    <w:sectPr w:rsidR="00A364A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97E4" w14:textId="77777777" w:rsidR="00585798" w:rsidRDefault="00585798">
      <w:r>
        <w:separator/>
      </w:r>
    </w:p>
  </w:endnote>
  <w:endnote w:type="continuationSeparator" w:id="0">
    <w:p w14:paraId="50DF7B30" w14:textId="77777777" w:rsidR="00585798" w:rsidRDefault="00585798">
      <w:r>
        <w:continuationSeparator/>
      </w:r>
    </w:p>
  </w:endnote>
  <w:endnote w:type="continuationNotice" w:id="1">
    <w:p w14:paraId="2EC65644" w14:textId="77777777" w:rsidR="00585798" w:rsidRDefault="00585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92AF" w14:textId="77777777" w:rsidR="00585798" w:rsidRDefault="00585798">
      <w:r>
        <w:separator/>
      </w:r>
    </w:p>
  </w:footnote>
  <w:footnote w:type="continuationSeparator" w:id="0">
    <w:p w14:paraId="58F59848" w14:textId="77777777" w:rsidR="00585798" w:rsidRDefault="00585798">
      <w:r>
        <w:continuationSeparator/>
      </w:r>
    </w:p>
  </w:footnote>
  <w:footnote w:type="continuationNotice" w:id="1">
    <w:p w14:paraId="077D7203" w14:textId="77777777" w:rsidR="00585798" w:rsidRDefault="00585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73BB6"/>
    <w:multiLevelType w:val="hybridMultilevel"/>
    <w:tmpl w:val="F8CEA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0B0793"/>
    <w:multiLevelType w:val="hybridMultilevel"/>
    <w:tmpl w:val="95242208"/>
    <w:lvl w:ilvl="0" w:tplc="AA4EF41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08079579">
    <w:abstractNumId w:val="1"/>
  </w:num>
  <w:num w:numId="2" w16cid:durableId="20347197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2710"/>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D09"/>
    <w:rsid w:val="00091D0E"/>
    <w:rsid w:val="000925FD"/>
    <w:rsid w:val="00096BF9"/>
    <w:rsid w:val="000A037A"/>
    <w:rsid w:val="000A1353"/>
    <w:rsid w:val="000A175A"/>
    <w:rsid w:val="000A36B8"/>
    <w:rsid w:val="000A3E3A"/>
    <w:rsid w:val="000A4BFA"/>
    <w:rsid w:val="000B07F1"/>
    <w:rsid w:val="000B1DBC"/>
    <w:rsid w:val="000B2EEB"/>
    <w:rsid w:val="000B4278"/>
    <w:rsid w:val="000B53A8"/>
    <w:rsid w:val="000B7558"/>
    <w:rsid w:val="000B7BCF"/>
    <w:rsid w:val="000C00D3"/>
    <w:rsid w:val="000C0E9B"/>
    <w:rsid w:val="000C1438"/>
    <w:rsid w:val="000C1CC1"/>
    <w:rsid w:val="000C2001"/>
    <w:rsid w:val="000C2A2A"/>
    <w:rsid w:val="000C2C7C"/>
    <w:rsid w:val="000C5C6A"/>
    <w:rsid w:val="000C5F50"/>
    <w:rsid w:val="000C6894"/>
    <w:rsid w:val="000C6AF3"/>
    <w:rsid w:val="000C6D96"/>
    <w:rsid w:val="000C7039"/>
    <w:rsid w:val="000D3011"/>
    <w:rsid w:val="000D458F"/>
    <w:rsid w:val="000D4960"/>
    <w:rsid w:val="000D4D03"/>
    <w:rsid w:val="000D58AB"/>
    <w:rsid w:val="000D7DAA"/>
    <w:rsid w:val="000E153B"/>
    <w:rsid w:val="000E3312"/>
    <w:rsid w:val="000E3B91"/>
    <w:rsid w:val="000E5662"/>
    <w:rsid w:val="000E5B70"/>
    <w:rsid w:val="000E71B9"/>
    <w:rsid w:val="000E72CB"/>
    <w:rsid w:val="000E7D7E"/>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439"/>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33F8"/>
    <w:rsid w:val="001B5425"/>
    <w:rsid w:val="001B7434"/>
    <w:rsid w:val="001B7E7E"/>
    <w:rsid w:val="001B7E9B"/>
    <w:rsid w:val="001C0E24"/>
    <w:rsid w:val="001C34C9"/>
    <w:rsid w:val="001C66D9"/>
    <w:rsid w:val="001C6D3D"/>
    <w:rsid w:val="001C76D1"/>
    <w:rsid w:val="001C7DA1"/>
    <w:rsid w:val="001D0230"/>
    <w:rsid w:val="001D068F"/>
    <w:rsid w:val="001D393D"/>
    <w:rsid w:val="001D412B"/>
    <w:rsid w:val="001D6244"/>
    <w:rsid w:val="001D6AAA"/>
    <w:rsid w:val="001D6CB7"/>
    <w:rsid w:val="001D7B25"/>
    <w:rsid w:val="001E0B79"/>
    <w:rsid w:val="001E0EA3"/>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5FFA"/>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1A42"/>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E47"/>
    <w:rsid w:val="0025393D"/>
    <w:rsid w:val="00254258"/>
    <w:rsid w:val="00254371"/>
    <w:rsid w:val="00254EBB"/>
    <w:rsid w:val="0025778B"/>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4AB"/>
    <w:rsid w:val="002A06B8"/>
    <w:rsid w:val="002A2A41"/>
    <w:rsid w:val="002A3344"/>
    <w:rsid w:val="002A362A"/>
    <w:rsid w:val="002A3CBD"/>
    <w:rsid w:val="002A57F7"/>
    <w:rsid w:val="002A6219"/>
    <w:rsid w:val="002A7EF7"/>
    <w:rsid w:val="002B0220"/>
    <w:rsid w:val="002B0529"/>
    <w:rsid w:val="002B0907"/>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5A47"/>
    <w:rsid w:val="00306E60"/>
    <w:rsid w:val="00306F6C"/>
    <w:rsid w:val="00307F65"/>
    <w:rsid w:val="00310409"/>
    <w:rsid w:val="00310681"/>
    <w:rsid w:val="00310921"/>
    <w:rsid w:val="00311508"/>
    <w:rsid w:val="003121E2"/>
    <w:rsid w:val="00312B8C"/>
    <w:rsid w:val="00313947"/>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09CC"/>
    <w:rsid w:val="003413A2"/>
    <w:rsid w:val="00341736"/>
    <w:rsid w:val="00341FC1"/>
    <w:rsid w:val="003424D0"/>
    <w:rsid w:val="00342E82"/>
    <w:rsid w:val="003454FC"/>
    <w:rsid w:val="00346189"/>
    <w:rsid w:val="00346E0E"/>
    <w:rsid w:val="003470D6"/>
    <w:rsid w:val="003474A6"/>
    <w:rsid w:val="0035110D"/>
    <w:rsid w:val="00351EFF"/>
    <w:rsid w:val="00353EE1"/>
    <w:rsid w:val="00353F78"/>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6616"/>
    <w:rsid w:val="0038731B"/>
    <w:rsid w:val="00387439"/>
    <w:rsid w:val="00391257"/>
    <w:rsid w:val="0039304A"/>
    <w:rsid w:val="003942E3"/>
    <w:rsid w:val="003953AB"/>
    <w:rsid w:val="00395FDA"/>
    <w:rsid w:val="003976C3"/>
    <w:rsid w:val="003A68D5"/>
    <w:rsid w:val="003B2140"/>
    <w:rsid w:val="003B50E1"/>
    <w:rsid w:val="003B600A"/>
    <w:rsid w:val="003B68E4"/>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2DDE"/>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253"/>
    <w:rsid w:val="004656FD"/>
    <w:rsid w:val="00465AE0"/>
    <w:rsid w:val="00465C8F"/>
    <w:rsid w:val="00465DD6"/>
    <w:rsid w:val="00467718"/>
    <w:rsid w:val="00470459"/>
    <w:rsid w:val="00471777"/>
    <w:rsid w:val="004745E6"/>
    <w:rsid w:val="00475AD9"/>
    <w:rsid w:val="00477373"/>
    <w:rsid w:val="00477911"/>
    <w:rsid w:val="00480550"/>
    <w:rsid w:val="00483AFF"/>
    <w:rsid w:val="004842F3"/>
    <w:rsid w:val="00484DBF"/>
    <w:rsid w:val="004862A9"/>
    <w:rsid w:val="00486CD7"/>
    <w:rsid w:val="00487EAD"/>
    <w:rsid w:val="00490813"/>
    <w:rsid w:val="00490E2A"/>
    <w:rsid w:val="00493F5A"/>
    <w:rsid w:val="00494C2D"/>
    <w:rsid w:val="00495283"/>
    <w:rsid w:val="00495410"/>
    <w:rsid w:val="004964A5"/>
    <w:rsid w:val="004A0703"/>
    <w:rsid w:val="004A0F46"/>
    <w:rsid w:val="004A10EC"/>
    <w:rsid w:val="004A2B20"/>
    <w:rsid w:val="004A360A"/>
    <w:rsid w:val="004A48AA"/>
    <w:rsid w:val="004A4F0F"/>
    <w:rsid w:val="004A5056"/>
    <w:rsid w:val="004A5614"/>
    <w:rsid w:val="004A5F6B"/>
    <w:rsid w:val="004A6C2C"/>
    <w:rsid w:val="004A6DA1"/>
    <w:rsid w:val="004B23B9"/>
    <w:rsid w:val="004B4758"/>
    <w:rsid w:val="004B7849"/>
    <w:rsid w:val="004C206C"/>
    <w:rsid w:val="004C3489"/>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539"/>
    <w:rsid w:val="004F4CF7"/>
    <w:rsid w:val="004F536A"/>
    <w:rsid w:val="004F5D2D"/>
    <w:rsid w:val="005020E7"/>
    <w:rsid w:val="00502ACC"/>
    <w:rsid w:val="00502B46"/>
    <w:rsid w:val="00503171"/>
    <w:rsid w:val="005104C3"/>
    <w:rsid w:val="005108C8"/>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715"/>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2B21"/>
    <w:rsid w:val="00585798"/>
    <w:rsid w:val="0058588B"/>
    <w:rsid w:val="0058602F"/>
    <w:rsid w:val="00586ABC"/>
    <w:rsid w:val="00586F17"/>
    <w:rsid w:val="0059146F"/>
    <w:rsid w:val="00591568"/>
    <w:rsid w:val="00592B81"/>
    <w:rsid w:val="00593957"/>
    <w:rsid w:val="00596A09"/>
    <w:rsid w:val="00596EF7"/>
    <w:rsid w:val="00597653"/>
    <w:rsid w:val="005A0389"/>
    <w:rsid w:val="005A1D77"/>
    <w:rsid w:val="005A3223"/>
    <w:rsid w:val="005A3AF8"/>
    <w:rsid w:val="005A669D"/>
    <w:rsid w:val="005B01C6"/>
    <w:rsid w:val="005B021A"/>
    <w:rsid w:val="005B0915"/>
    <w:rsid w:val="005B1232"/>
    <w:rsid w:val="005B1D3C"/>
    <w:rsid w:val="005B2FB4"/>
    <w:rsid w:val="005B34D8"/>
    <w:rsid w:val="005B4DEE"/>
    <w:rsid w:val="005B6646"/>
    <w:rsid w:val="005B77A3"/>
    <w:rsid w:val="005C1021"/>
    <w:rsid w:val="005C16A8"/>
    <w:rsid w:val="005C41F8"/>
    <w:rsid w:val="005C448F"/>
    <w:rsid w:val="005C7B8F"/>
    <w:rsid w:val="005D53D9"/>
    <w:rsid w:val="005D7512"/>
    <w:rsid w:val="005E1C7A"/>
    <w:rsid w:val="005E3D0F"/>
    <w:rsid w:val="005E431B"/>
    <w:rsid w:val="005E55EE"/>
    <w:rsid w:val="005E59C1"/>
    <w:rsid w:val="005E646F"/>
    <w:rsid w:val="005E688A"/>
    <w:rsid w:val="005E7E18"/>
    <w:rsid w:val="005F10C3"/>
    <w:rsid w:val="005F11C7"/>
    <w:rsid w:val="005F11E0"/>
    <w:rsid w:val="005F191C"/>
    <w:rsid w:val="005F2419"/>
    <w:rsid w:val="005F4D98"/>
    <w:rsid w:val="005F71B4"/>
    <w:rsid w:val="006025D4"/>
    <w:rsid w:val="00603AB8"/>
    <w:rsid w:val="006042FA"/>
    <w:rsid w:val="00604791"/>
    <w:rsid w:val="006051CC"/>
    <w:rsid w:val="00611566"/>
    <w:rsid w:val="0061490D"/>
    <w:rsid w:val="006158C6"/>
    <w:rsid w:val="00615CC3"/>
    <w:rsid w:val="00617380"/>
    <w:rsid w:val="00617799"/>
    <w:rsid w:val="00617C52"/>
    <w:rsid w:val="0062034B"/>
    <w:rsid w:val="006204D3"/>
    <w:rsid w:val="00622BEA"/>
    <w:rsid w:val="00622E1A"/>
    <w:rsid w:val="0062722E"/>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2287"/>
    <w:rsid w:val="006530AA"/>
    <w:rsid w:val="00655EDF"/>
    <w:rsid w:val="00656467"/>
    <w:rsid w:val="006567F6"/>
    <w:rsid w:val="00656D67"/>
    <w:rsid w:val="006615B7"/>
    <w:rsid w:val="006616DA"/>
    <w:rsid w:val="00666915"/>
    <w:rsid w:val="00666A58"/>
    <w:rsid w:val="00666C06"/>
    <w:rsid w:val="00666CD2"/>
    <w:rsid w:val="00666F47"/>
    <w:rsid w:val="00667667"/>
    <w:rsid w:val="00670F0D"/>
    <w:rsid w:val="00671901"/>
    <w:rsid w:val="00672B47"/>
    <w:rsid w:val="00672C5E"/>
    <w:rsid w:val="0067441F"/>
    <w:rsid w:val="00682281"/>
    <w:rsid w:val="00683C17"/>
    <w:rsid w:val="00684AB0"/>
    <w:rsid w:val="00685083"/>
    <w:rsid w:val="006859FC"/>
    <w:rsid w:val="00685D99"/>
    <w:rsid w:val="006863A7"/>
    <w:rsid w:val="00690975"/>
    <w:rsid w:val="00690FBE"/>
    <w:rsid w:val="0069274F"/>
    <w:rsid w:val="00696D6B"/>
    <w:rsid w:val="00697279"/>
    <w:rsid w:val="006978CD"/>
    <w:rsid w:val="006A04E4"/>
    <w:rsid w:val="006A0E46"/>
    <w:rsid w:val="006A0EEC"/>
    <w:rsid w:val="006A119F"/>
    <w:rsid w:val="006A1637"/>
    <w:rsid w:val="006A1795"/>
    <w:rsid w:val="006A18B1"/>
    <w:rsid w:val="006A213B"/>
    <w:rsid w:val="006A364A"/>
    <w:rsid w:val="006A43F7"/>
    <w:rsid w:val="006A50DB"/>
    <w:rsid w:val="006A54D5"/>
    <w:rsid w:val="006A5590"/>
    <w:rsid w:val="006A64D5"/>
    <w:rsid w:val="006A75E8"/>
    <w:rsid w:val="006B0163"/>
    <w:rsid w:val="006B09B1"/>
    <w:rsid w:val="006B1C8C"/>
    <w:rsid w:val="006B2381"/>
    <w:rsid w:val="006B3C66"/>
    <w:rsid w:val="006B4328"/>
    <w:rsid w:val="006B46B6"/>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5F"/>
    <w:rsid w:val="006E73C6"/>
    <w:rsid w:val="006E7F54"/>
    <w:rsid w:val="006F13B1"/>
    <w:rsid w:val="006F1FA3"/>
    <w:rsid w:val="006F212F"/>
    <w:rsid w:val="006F2E59"/>
    <w:rsid w:val="006F35FD"/>
    <w:rsid w:val="006F4FC0"/>
    <w:rsid w:val="007004C2"/>
    <w:rsid w:val="00701BAD"/>
    <w:rsid w:val="007024B4"/>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6693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04"/>
    <w:rsid w:val="007C095F"/>
    <w:rsid w:val="007C5546"/>
    <w:rsid w:val="007C75EB"/>
    <w:rsid w:val="007D392F"/>
    <w:rsid w:val="007D4384"/>
    <w:rsid w:val="007D56F6"/>
    <w:rsid w:val="007D6785"/>
    <w:rsid w:val="007D6F9E"/>
    <w:rsid w:val="007D7863"/>
    <w:rsid w:val="007E0300"/>
    <w:rsid w:val="007E06AD"/>
    <w:rsid w:val="007E08DE"/>
    <w:rsid w:val="007E4315"/>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045"/>
    <w:rsid w:val="00803FFD"/>
    <w:rsid w:val="0080587E"/>
    <w:rsid w:val="008069E1"/>
    <w:rsid w:val="008120E4"/>
    <w:rsid w:val="008123F1"/>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2A7"/>
    <w:rsid w:val="00846E07"/>
    <w:rsid w:val="00846E32"/>
    <w:rsid w:val="00852A5B"/>
    <w:rsid w:val="00852D39"/>
    <w:rsid w:val="00853CEC"/>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272F"/>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D7F"/>
    <w:rsid w:val="008B56D0"/>
    <w:rsid w:val="008B7079"/>
    <w:rsid w:val="008B70F9"/>
    <w:rsid w:val="008C056C"/>
    <w:rsid w:val="008C1943"/>
    <w:rsid w:val="008C1FEA"/>
    <w:rsid w:val="008C2DF3"/>
    <w:rsid w:val="008C2F7B"/>
    <w:rsid w:val="008C313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057FD"/>
    <w:rsid w:val="00910049"/>
    <w:rsid w:val="0091160B"/>
    <w:rsid w:val="009145D4"/>
    <w:rsid w:val="00915010"/>
    <w:rsid w:val="009163CE"/>
    <w:rsid w:val="0091774A"/>
    <w:rsid w:val="00917D83"/>
    <w:rsid w:val="0092054B"/>
    <w:rsid w:val="00920EBD"/>
    <w:rsid w:val="00922E52"/>
    <w:rsid w:val="00923DB8"/>
    <w:rsid w:val="009265A4"/>
    <w:rsid w:val="00927399"/>
    <w:rsid w:val="00932110"/>
    <w:rsid w:val="00932497"/>
    <w:rsid w:val="00933C98"/>
    <w:rsid w:val="0093545F"/>
    <w:rsid w:val="00935903"/>
    <w:rsid w:val="00937449"/>
    <w:rsid w:val="009408C4"/>
    <w:rsid w:val="00941B73"/>
    <w:rsid w:val="009420E9"/>
    <w:rsid w:val="009425EB"/>
    <w:rsid w:val="00942EC2"/>
    <w:rsid w:val="009439C1"/>
    <w:rsid w:val="009458C7"/>
    <w:rsid w:val="00945F40"/>
    <w:rsid w:val="009461CA"/>
    <w:rsid w:val="009462DC"/>
    <w:rsid w:val="009471FD"/>
    <w:rsid w:val="00947224"/>
    <w:rsid w:val="0095007B"/>
    <w:rsid w:val="0095208E"/>
    <w:rsid w:val="00952B52"/>
    <w:rsid w:val="00953F9F"/>
    <w:rsid w:val="00954F6C"/>
    <w:rsid w:val="00955F99"/>
    <w:rsid w:val="009561FE"/>
    <w:rsid w:val="0095648B"/>
    <w:rsid w:val="0095655E"/>
    <w:rsid w:val="0096116E"/>
    <w:rsid w:val="0096171E"/>
    <w:rsid w:val="00961B32"/>
    <w:rsid w:val="00962FBF"/>
    <w:rsid w:val="00963D86"/>
    <w:rsid w:val="0096490A"/>
    <w:rsid w:val="0097184A"/>
    <w:rsid w:val="00971C47"/>
    <w:rsid w:val="00972C97"/>
    <w:rsid w:val="00972E18"/>
    <w:rsid w:val="009735D6"/>
    <w:rsid w:val="00973FB4"/>
    <w:rsid w:val="00974482"/>
    <w:rsid w:val="00974BB0"/>
    <w:rsid w:val="00977E8D"/>
    <w:rsid w:val="009812D0"/>
    <w:rsid w:val="009816B5"/>
    <w:rsid w:val="00983095"/>
    <w:rsid w:val="00984571"/>
    <w:rsid w:val="00985308"/>
    <w:rsid w:val="009876A5"/>
    <w:rsid w:val="0099180C"/>
    <w:rsid w:val="00993BBC"/>
    <w:rsid w:val="0099493E"/>
    <w:rsid w:val="00995169"/>
    <w:rsid w:val="00996A0B"/>
    <w:rsid w:val="009979BD"/>
    <w:rsid w:val="00997D92"/>
    <w:rsid w:val="009A209A"/>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17D1"/>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364AB"/>
    <w:rsid w:val="00A4299F"/>
    <w:rsid w:val="00A43886"/>
    <w:rsid w:val="00A43B3A"/>
    <w:rsid w:val="00A44166"/>
    <w:rsid w:val="00A455AE"/>
    <w:rsid w:val="00A4702F"/>
    <w:rsid w:val="00A500CA"/>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85F13"/>
    <w:rsid w:val="00A90B53"/>
    <w:rsid w:val="00A92977"/>
    <w:rsid w:val="00A95D85"/>
    <w:rsid w:val="00A95EC3"/>
    <w:rsid w:val="00A96374"/>
    <w:rsid w:val="00A9671C"/>
    <w:rsid w:val="00AA0C38"/>
    <w:rsid w:val="00AA0F95"/>
    <w:rsid w:val="00AA22E4"/>
    <w:rsid w:val="00AA2EC0"/>
    <w:rsid w:val="00AA4AF2"/>
    <w:rsid w:val="00AA4E8F"/>
    <w:rsid w:val="00AA53C6"/>
    <w:rsid w:val="00AA665D"/>
    <w:rsid w:val="00AB0EE8"/>
    <w:rsid w:val="00AB14C4"/>
    <w:rsid w:val="00AB2B2E"/>
    <w:rsid w:val="00AB30AE"/>
    <w:rsid w:val="00AB3B76"/>
    <w:rsid w:val="00AB43B1"/>
    <w:rsid w:val="00AB7904"/>
    <w:rsid w:val="00AC01D1"/>
    <w:rsid w:val="00AC205B"/>
    <w:rsid w:val="00AC2C87"/>
    <w:rsid w:val="00AC30E3"/>
    <w:rsid w:val="00AC39D1"/>
    <w:rsid w:val="00AC4E7E"/>
    <w:rsid w:val="00AC74F1"/>
    <w:rsid w:val="00AC773F"/>
    <w:rsid w:val="00AD6538"/>
    <w:rsid w:val="00AE0FAB"/>
    <w:rsid w:val="00AE131B"/>
    <w:rsid w:val="00AE1816"/>
    <w:rsid w:val="00AE1EAE"/>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664C"/>
    <w:rsid w:val="00B573A0"/>
    <w:rsid w:val="00B575B7"/>
    <w:rsid w:val="00B620C6"/>
    <w:rsid w:val="00B62656"/>
    <w:rsid w:val="00B6400F"/>
    <w:rsid w:val="00B64F6E"/>
    <w:rsid w:val="00B66773"/>
    <w:rsid w:val="00B67516"/>
    <w:rsid w:val="00B675E5"/>
    <w:rsid w:val="00B6790B"/>
    <w:rsid w:val="00B67FC5"/>
    <w:rsid w:val="00B704B9"/>
    <w:rsid w:val="00B71C9C"/>
    <w:rsid w:val="00B74F24"/>
    <w:rsid w:val="00B753E5"/>
    <w:rsid w:val="00B768B9"/>
    <w:rsid w:val="00B76DF2"/>
    <w:rsid w:val="00B77D03"/>
    <w:rsid w:val="00B8054D"/>
    <w:rsid w:val="00B80819"/>
    <w:rsid w:val="00B8199E"/>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B4EA8"/>
    <w:rsid w:val="00BB6D39"/>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6554"/>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19B8"/>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5ED3"/>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00F"/>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694"/>
    <w:rsid w:val="00CC6CA5"/>
    <w:rsid w:val="00CC7A73"/>
    <w:rsid w:val="00CD0E51"/>
    <w:rsid w:val="00CD11AE"/>
    <w:rsid w:val="00CD2620"/>
    <w:rsid w:val="00CD372F"/>
    <w:rsid w:val="00CD4C7B"/>
    <w:rsid w:val="00CD6C7B"/>
    <w:rsid w:val="00CE07A8"/>
    <w:rsid w:val="00CE1F72"/>
    <w:rsid w:val="00CE2062"/>
    <w:rsid w:val="00CE270D"/>
    <w:rsid w:val="00CE29F0"/>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58C8"/>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7742D"/>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B7E2B"/>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0D4"/>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4C5"/>
    <w:rsid w:val="00E33514"/>
    <w:rsid w:val="00E338CF"/>
    <w:rsid w:val="00E33B0E"/>
    <w:rsid w:val="00E366D8"/>
    <w:rsid w:val="00E376B0"/>
    <w:rsid w:val="00E46555"/>
    <w:rsid w:val="00E47BC4"/>
    <w:rsid w:val="00E5071A"/>
    <w:rsid w:val="00E525D8"/>
    <w:rsid w:val="00E52EBD"/>
    <w:rsid w:val="00E55C02"/>
    <w:rsid w:val="00E568A6"/>
    <w:rsid w:val="00E568F9"/>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2F0B"/>
    <w:rsid w:val="00E96E21"/>
    <w:rsid w:val="00EA012D"/>
    <w:rsid w:val="00EA22F8"/>
    <w:rsid w:val="00EA472F"/>
    <w:rsid w:val="00EA6955"/>
    <w:rsid w:val="00EB0BA3"/>
    <w:rsid w:val="00EB4384"/>
    <w:rsid w:val="00EB45CF"/>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6E8A"/>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2BF4"/>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6F17"/>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872"/>
    <w:rsid w:val="00FE7EAE"/>
    <w:rsid w:val="00FF158F"/>
    <w:rsid w:val="00FF1FB9"/>
    <w:rsid w:val="00FF327F"/>
    <w:rsid w:val="00FF3B5E"/>
    <w:rsid w:val="00FF3CA9"/>
    <w:rsid w:val="00FF3CF1"/>
    <w:rsid w:val="00FF40A9"/>
    <w:rsid w:val="00FF46A4"/>
    <w:rsid w:val="00FF4C45"/>
    <w:rsid w:val="00FF5009"/>
    <w:rsid w:val="00FF72B8"/>
    <w:rsid w:val="044B57CC"/>
    <w:rsid w:val="077D742D"/>
    <w:rsid w:val="0C5D6420"/>
    <w:rsid w:val="11970933"/>
    <w:rsid w:val="1D640919"/>
    <w:rsid w:val="203B71E3"/>
    <w:rsid w:val="23800E2F"/>
    <w:rsid w:val="340ED501"/>
    <w:rsid w:val="3583AB31"/>
    <w:rsid w:val="3885FD3F"/>
    <w:rsid w:val="39443DB2"/>
    <w:rsid w:val="3E8C0126"/>
    <w:rsid w:val="3F899A03"/>
    <w:rsid w:val="4C913B20"/>
    <w:rsid w:val="4D28D4D5"/>
    <w:rsid w:val="53E8EE69"/>
    <w:rsid w:val="5E83FFC2"/>
    <w:rsid w:val="65C6970E"/>
    <w:rsid w:val="660526CA"/>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0302188C-5233-4CA2-A1E6-99599A91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5E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92701900">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RBI5PAMIO524-1283208665-7572</_dlc_DocId>
    <_dlc_DocIdUrl xmlns="71c5aaf6-e6ce-465b-b873-5148d2a4c105">
      <Url>https://nokia.sharepoint.com/sites/gxp/_layouts/15/DocIdRedir.aspx?ID=RBI5PAMIO524-1283208665-7572</Url>
      <Description>RBI5PAMIO524-1283208665-7572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B8BC5C3-541D-4639-B969-289FDF3DAF24}">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60975DB3-2A55-4B8C-81E0-2EB8C2175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1</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LBT waiting time for correct classification of MRO events</vt:lpstr>
    </vt:vector>
  </TitlesOfParts>
  <Company>Nokia</Company>
  <LinksUpToDate>false</LinksUpToDate>
  <CharactersWithSpaces>5674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Optimal usage of Subsequent CPAC</dc:title>
  <dc:subject>3GPP RAN3 #123-bis</dc:subject>
  <dc:creator>Benoist Sébire</dc:creator>
  <cp:keywords>&lt;keyword[, keyword, ]&gt;</cp:keywords>
  <dc:description/>
  <cp:lastModifiedBy>Nokia</cp:lastModifiedBy>
  <cp:revision>6</cp:revision>
  <cp:lastPrinted>2019-03-27T15:16:00Z</cp:lastPrinted>
  <dcterms:created xsi:type="dcterms:W3CDTF">2024-04-04T09:39:00Z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7d5cdbc7-2823-4d42-a724-6c5b35fc062e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